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EC9" w:rsidRPr="006935CD" w:rsidRDefault="005F4EC9" w:rsidP="005F4EC9">
      <w:pPr>
        <w:rPr>
          <w:rFonts w:ascii="宋体" w:cs="宋体"/>
          <w:kern w:val="0"/>
          <w:sz w:val="28"/>
          <w:szCs w:val="28"/>
        </w:rPr>
      </w:pPr>
      <w:r w:rsidRPr="006935CD">
        <w:rPr>
          <w:rFonts w:ascii="宋体" w:cs="宋体" w:hint="eastAsia"/>
          <w:b/>
          <w:kern w:val="0"/>
          <w:sz w:val="28"/>
          <w:szCs w:val="28"/>
        </w:rPr>
        <w:t>奖励类别：</w:t>
      </w:r>
      <w:r>
        <w:rPr>
          <w:rFonts w:ascii="宋体" w:cs="宋体" w:hint="eastAsia"/>
          <w:kern w:val="0"/>
          <w:sz w:val="28"/>
          <w:szCs w:val="28"/>
        </w:rPr>
        <w:t>科技进步奖-科普类</w:t>
      </w:r>
    </w:p>
    <w:p w:rsidR="005F4EC9" w:rsidRPr="006935CD" w:rsidRDefault="005F4EC9" w:rsidP="005F4EC9">
      <w:pPr>
        <w:rPr>
          <w:rFonts w:ascii="宋体" w:cs="宋体"/>
          <w:b/>
          <w:kern w:val="0"/>
          <w:sz w:val="28"/>
          <w:szCs w:val="28"/>
        </w:rPr>
      </w:pPr>
      <w:r w:rsidRPr="006935CD">
        <w:rPr>
          <w:rFonts w:ascii="宋体" w:cs="宋体" w:hint="eastAsia"/>
          <w:b/>
          <w:kern w:val="0"/>
          <w:sz w:val="28"/>
          <w:szCs w:val="28"/>
        </w:rPr>
        <w:t>项目名称：</w:t>
      </w:r>
      <w:r w:rsidRPr="005F4EC9">
        <w:rPr>
          <w:rFonts w:ascii="宋体" w:cs="宋体" w:hint="eastAsia"/>
          <w:kern w:val="0"/>
          <w:sz w:val="28"/>
          <w:szCs w:val="28"/>
        </w:rPr>
        <w:t>石化科普知识</w:t>
      </w:r>
    </w:p>
    <w:p w:rsidR="005F4EC9" w:rsidRPr="005F4EC9" w:rsidRDefault="005F4EC9" w:rsidP="005F4EC9">
      <w:pPr>
        <w:rPr>
          <w:rFonts w:ascii="宋体" w:cs="宋体"/>
          <w:kern w:val="0"/>
          <w:sz w:val="28"/>
          <w:szCs w:val="28"/>
        </w:rPr>
      </w:pPr>
      <w:r>
        <w:rPr>
          <w:rFonts w:ascii="宋体" w:cs="宋体" w:hint="eastAsia"/>
          <w:b/>
          <w:kern w:val="0"/>
          <w:sz w:val="28"/>
          <w:szCs w:val="28"/>
        </w:rPr>
        <w:t>主要完成人：</w:t>
      </w:r>
      <w:r w:rsidRPr="005F4EC9">
        <w:rPr>
          <w:rFonts w:ascii="宋体" w:cs="宋体" w:hint="eastAsia"/>
          <w:kern w:val="0"/>
          <w:sz w:val="28"/>
          <w:szCs w:val="28"/>
        </w:rPr>
        <w:t>纪红兵</w:t>
      </w:r>
    </w:p>
    <w:p w:rsidR="005F4EC9" w:rsidRPr="005F4EC9" w:rsidRDefault="005F4EC9" w:rsidP="005F4EC9">
      <w:pPr>
        <w:rPr>
          <w:rFonts w:ascii="宋体" w:cs="宋体"/>
          <w:kern w:val="0"/>
          <w:sz w:val="28"/>
          <w:szCs w:val="28"/>
        </w:rPr>
      </w:pPr>
      <w:r>
        <w:rPr>
          <w:rFonts w:ascii="宋体" w:cs="宋体" w:hint="eastAsia"/>
          <w:b/>
          <w:kern w:val="0"/>
          <w:sz w:val="28"/>
          <w:szCs w:val="28"/>
        </w:rPr>
        <w:t>主要完成</w:t>
      </w:r>
      <w:r w:rsidRPr="006935CD">
        <w:rPr>
          <w:rFonts w:ascii="宋体" w:cs="宋体" w:hint="eastAsia"/>
          <w:b/>
          <w:kern w:val="0"/>
          <w:sz w:val="28"/>
          <w:szCs w:val="28"/>
        </w:rPr>
        <w:t>单位：</w:t>
      </w:r>
      <w:r w:rsidRPr="005F4EC9">
        <w:rPr>
          <w:rFonts w:ascii="宋体" w:cs="宋体" w:hint="eastAsia"/>
          <w:kern w:val="0"/>
          <w:sz w:val="28"/>
          <w:szCs w:val="28"/>
        </w:rPr>
        <w:t>中山大学</w:t>
      </w:r>
    </w:p>
    <w:p w:rsidR="005F4EC9" w:rsidRDefault="005F4EC9" w:rsidP="005F4EC9">
      <w:pPr>
        <w:rPr>
          <w:rFonts w:ascii="宋体" w:cs="宋体"/>
          <w:b/>
          <w:kern w:val="0"/>
          <w:sz w:val="28"/>
          <w:szCs w:val="28"/>
        </w:rPr>
      </w:pPr>
      <w:r w:rsidRPr="006935CD">
        <w:rPr>
          <w:rFonts w:ascii="宋体" w:cs="宋体" w:hint="eastAsia"/>
          <w:b/>
          <w:kern w:val="0"/>
          <w:sz w:val="28"/>
          <w:szCs w:val="28"/>
        </w:rPr>
        <w:t>项目简介：</w:t>
      </w:r>
    </w:p>
    <w:p w:rsidR="005F4EC9" w:rsidRPr="005F4EC9" w:rsidRDefault="005F4EC9" w:rsidP="005F4EC9">
      <w:pPr>
        <w:snapToGrid w:val="0"/>
        <w:rPr>
          <w:rFonts w:ascii="宋体" w:cs="宋体"/>
          <w:kern w:val="0"/>
          <w:sz w:val="28"/>
          <w:szCs w:val="28"/>
        </w:rPr>
      </w:pPr>
      <w:r w:rsidRPr="005F4EC9">
        <w:rPr>
          <w:rFonts w:ascii="宋体" w:cs="宋体"/>
          <w:kern w:val="0"/>
          <w:sz w:val="28"/>
          <w:szCs w:val="28"/>
        </w:rPr>
        <w:t>自大亚湾石化区建成投产，直到2014、2015连续两年在全国化工园区综合排名第二，并被列入中国石化行业</w:t>
      </w:r>
      <w:r w:rsidRPr="005F4EC9">
        <w:rPr>
          <w:rFonts w:ascii="宋体" w:cs="宋体"/>
          <w:kern w:val="0"/>
          <w:sz w:val="28"/>
          <w:szCs w:val="28"/>
        </w:rPr>
        <w:t>“</w:t>
      </w:r>
      <w:r w:rsidRPr="005F4EC9">
        <w:rPr>
          <w:rFonts w:ascii="宋体" w:cs="宋体"/>
          <w:kern w:val="0"/>
          <w:sz w:val="28"/>
          <w:szCs w:val="28"/>
        </w:rPr>
        <w:t>十三五规划</w:t>
      </w:r>
      <w:r w:rsidRPr="005F4EC9">
        <w:rPr>
          <w:rFonts w:ascii="宋体" w:cs="宋体"/>
          <w:kern w:val="0"/>
          <w:sz w:val="28"/>
          <w:szCs w:val="28"/>
        </w:rPr>
        <w:t>”</w:t>
      </w:r>
      <w:r w:rsidRPr="005F4EC9">
        <w:rPr>
          <w:rFonts w:ascii="宋体" w:cs="宋体"/>
          <w:kern w:val="0"/>
          <w:sz w:val="28"/>
          <w:szCs w:val="28"/>
        </w:rPr>
        <w:t>重点建设七大石化产业基地。但周边民众由于缺少对石油化工行业和现代石油化工园区的基本了解，对石化区存在不少的误解和恐慌。为了改变这种</w:t>
      </w:r>
      <w:r w:rsidRPr="005F4EC9">
        <w:rPr>
          <w:rFonts w:ascii="宋体" w:cs="宋体"/>
          <w:kern w:val="0"/>
          <w:sz w:val="28"/>
          <w:szCs w:val="28"/>
        </w:rPr>
        <w:t>“</w:t>
      </w:r>
      <w:r w:rsidRPr="005F4EC9">
        <w:rPr>
          <w:rFonts w:ascii="宋体" w:cs="宋体"/>
          <w:kern w:val="0"/>
          <w:sz w:val="28"/>
          <w:szCs w:val="28"/>
        </w:rPr>
        <w:t>谈化色变</w:t>
      </w:r>
      <w:r w:rsidRPr="005F4EC9">
        <w:rPr>
          <w:rFonts w:ascii="宋体" w:cs="宋体"/>
          <w:kern w:val="0"/>
          <w:sz w:val="28"/>
          <w:szCs w:val="28"/>
        </w:rPr>
        <w:t>”“</w:t>
      </w:r>
      <w:r w:rsidRPr="005F4EC9">
        <w:rPr>
          <w:rFonts w:ascii="宋体" w:cs="宋体"/>
          <w:kern w:val="0"/>
          <w:sz w:val="28"/>
          <w:szCs w:val="28"/>
        </w:rPr>
        <w:t>化工猛于虎</w:t>
      </w:r>
      <w:r w:rsidRPr="005F4EC9">
        <w:rPr>
          <w:rFonts w:ascii="宋体" w:cs="宋体"/>
          <w:kern w:val="0"/>
          <w:sz w:val="28"/>
          <w:szCs w:val="28"/>
        </w:rPr>
        <w:t>”</w:t>
      </w:r>
      <w:r w:rsidRPr="005F4EC9">
        <w:rPr>
          <w:rFonts w:ascii="宋体" w:cs="宋体"/>
          <w:kern w:val="0"/>
          <w:sz w:val="28"/>
          <w:szCs w:val="28"/>
        </w:rPr>
        <w:t>的氛围，让人们对石油化工行业有个客观正确的认识，启动了大亚湾区石化科普知识科技计划项目，并出版了《石化科普知识》专著。</w:t>
      </w:r>
    </w:p>
    <w:p w:rsidR="005F4EC9" w:rsidRPr="005F4EC9" w:rsidRDefault="005F4EC9" w:rsidP="005F4EC9">
      <w:pPr>
        <w:snapToGrid w:val="0"/>
        <w:rPr>
          <w:rFonts w:ascii="宋体" w:cs="宋体"/>
          <w:kern w:val="0"/>
          <w:sz w:val="28"/>
          <w:szCs w:val="28"/>
        </w:rPr>
      </w:pPr>
      <w:r w:rsidRPr="005F4EC9">
        <w:rPr>
          <w:rFonts w:ascii="宋体" w:cs="宋体"/>
          <w:kern w:val="0"/>
          <w:sz w:val="28"/>
          <w:szCs w:val="28"/>
        </w:rPr>
        <w:t xml:space="preserve">  《石化科普知识》针对石化产业中炼化一体化产业链，共撰写了二十一讲内容，从原油开采，到由原油中分离出的各种组分</w:t>
      </w:r>
      <w:r w:rsidRPr="005F4EC9">
        <w:rPr>
          <w:rFonts w:ascii="宋体" w:cs="宋体" w:hint="eastAsia"/>
          <w:kern w:val="0"/>
          <w:sz w:val="28"/>
          <w:szCs w:val="28"/>
        </w:rPr>
        <w:t>（按碳链长短划分）及其相对应的我们日常生活中经常见到的下游深加工产品，再到石化区内的各种生产现象和相应的安全环保措施，内容完整且具有系统性。</w:t>
      </w:r>
    </w:p>
    <w:p w:rsidR="005F4EC9" w:rsidRPr="005F4EC9" w:rsidRDefault="005F4EC9" w:rsidP="005F4EC9">
      <w:pPr>
        <w:snapToGrid w:val="0"/>
        <w:rPr>
          <w:rFonts w:ascii="宋体" w:cs="宋体"/>
          <w:kern w:val="0"/>
          <w:sz w:val="28"/>
          <w:szCs w:val="28"/>
        </w:rPr>
      </w:pPr>
      <w:r w:rsidRPr="005F4EC9">
        <w:rPr>
          <w:rFonts w:ascii="宋体" w:cs="宋体"/>
          <w:kern w:val="0"/>
          <w:sz w:val="28"/>
          <w:szCs w:val="28"/>
        </w:rPr>
        <w:t xml:space="preserve"> 《石化科普知识》省去了石油化工发展历史、具体工艺等繁杂内容，通过简略地介绍石油的形成、勘探、开采和炼制过程，点明了石油对经济发展的重要性，着重阐述了石油产品与我们的日常生活、石化区常见现象和石化区安全环保措施等与大众息息相关的环节，亦是大众最为关心的内容，整体布局详略得当、重点突出。</w:t>
      </w:r>
    </w:p>
    <w:p w:rsidR="005F4EC9" w:rsidRPr="005F4EC9" w:rsidRDefault="005F4EC9" w:rsidP="005F4EC9">
      <w:pPr>
        <w:snapToGrid w:val="0"/>
        <w:rPr>
          <w:rFonts w:ascii="宋体" w:cs="宋体"/>
          <w:kern w:val="0"/>
          <w:sz w:val="28"/>
          <w:szCs w:val="28"/>
        </w:rPr>
      </w:pPr>
      <w:r w:rsidRPr="005F4EC9">
        <w:rPr>
          <w:rFonts w:ascii="宋体" w:cs="宋体"/>
          <w:kern w:val="0"/>
          <w:sz w:val="28"/>
          <w:szCs w:val="28"/>
        </w:rPr>
        <w:t xml:space="preserve"> 《石化科普知识》全书彩印，不涉及反应方程式、开采勘探的操作和设备仪器等专业性内</w:t>
      </w:r>
      <w:r w:rsidRPr="005F4EC9">
        <w:rPr>
          <w:rFonts w:ascii="宋体" w:cs="宋体" w:hint="eastAsia"/>
          <w:kern w:val="0"/>
          <w:sz w:val="28"/>
          <w:szCs w:val="28"/>
        </w:rPr>
        <w:t>容，版面设计图文并茂、通俗易懂。同时，此书贴近大亚湾区石化区的实际情况，能唤起周围群众对石化的切身感受，使他们更加容易理解和接受书中所述的系列石化科普知识。</w:t>
      </w:r>
    </w:p>
    <w:p w:rsidR="005F4EC9" w:rsidRPr="005F4EC9" w:rsidRDefault="005F4EC9" w:rsidP="005F4EC9">
      <w:pPr>
        <w:snapToGrid w:val="0"/>
        <w:rPr>
          <w:rFonts w:ascii="宋体" w:cs="宋体"/>
          <w:kern w:val="0"/>
          <w:sz w:val="28"/>
          <w:szCs w:val="28"/>
        </w:rPr>
      </w:pPr>
      <w:r w:rsidRPr="005F4EC9">
        <w:rPr>
          <w:rFonts w:ascii="宋体" w:cs="宋体"/>
          <w:kern w:val="0"/>
          <w:sz w:val="28"/>
          <w:szCs w:val="28"/>
        </w:rPr>
        <w:t xml:space="preserve"> 《石化科普知识》印刷质量符合中华人民共和国出版行业标准《印刷产品质量评价和分等导则》（CY/T 2-1999）规定，印刷质量合格。全书差错率0.23/10000，编校质量等级优质。</w:t>
      </w:r>
    </w:p>
    <w:p w:rsidR="005F4EC9" w:rsidRPr="005F4EC9" w:rsidRDefault="005F4EC9" w:rsidP="005F4EC9">
      <w:pPr>
        <w:snapToGrid w:val="0"/>
        <w:rPr>
          <w:rFonts w:ascii="宋体" w:cs="宋体"/>
          <w:kern w:val="0"/>
          <w:sz w:val="28"/>
          <w:szCs w:val="28"/>
        </w:rPr>
      </w:pPr>
      <w:r w:rsidRPr="005F4EC9">
        <w:rPr>
          <w:rFonts w:ascii="宋体" w:cs="宋体"/>
          <w:kern w:val="0"/>
          <w:sz w:val="28"/>
          <w:szCs w:val="28"/>
        </w:rPr>
        <w:t xml:space="preserve">  目前，《石化科普知识》已被广泛应用于与石化区相关的各级政府、企事业单位、学校和社区等多领域开展的专项石化科普活动，织就了以石化区为中心，辐射周边地区的立体式石化科普</w:t>
      </w:r>
      <w:r w:rsidRPr="005F4EC9">
        <w:rPr>
          <w:rFonts w:ascii="宋体" w:cs="宋体" w:hint="eastAsia"/>
          <w:kern w:val="0"/>
          <w:sz w:val="28"/>
          <w:szCs w:val="28"/>
        </w:rPr>
        <w:t>网络，在缓和民众和政府、企业的关系，在建设和谐城市方面起到了重要的作用。另外，《石化科普知识》还在广东省内多个化工园区及福建、湖北、山东等地的其他化工园区建设与发展过程中所进行的石化科普活动中起到了积极的推动作用，并获得当地园区管理部门的一致好评。</w:t>
      </w:r>
      <w:r w:rsidRPr="005F4EC9">
        <w:rPr>
          <w:rFonts w:ascii="宋体" w:cs="宋体"/>
          <w:kern w:val="0"/>
          <w:sz w:val="28"/>
          <w:szCs w:val="28"/>
        </w:rPr>
        <w:t>2014年，《石化科普知识》更是荣获了</w:t>
      </w:r>
      <w:r w:rsidRPr="005F4EC9">
        <w:rPr>
          <w:rFonts w:ascii="宋体" w:cs="宋体"/>
          <w:kern w:val="0"/>
          <w:sz w:val="28"/>
          <w:szCs w:val="28"/>
        </w:rPr>
        <w:lastRenderedPageBreak/>
        <w:t>由中国石油和化学工业联合会颁发的中国石油和化学工业优秀出版物（图书奖）二等奖。通过在若干个石化区应用《石化科普知识》进行石化科普推广活动的成功经验，可以在全国其他化工园区发挥其具有的普适性推广示范作用。</w:t>
      </w:r>
    </w:p>
    <w:p w:rsidR="005F4EC9" w:rsidRPr="005F4EC9" w:rsidRDefault="005F4EC9" w:rsidP="005F4EC9">
      <w:pPr>
        <w:rPr>
          <w:rFonts w:ascii="宋体" w:cs="宋体"/>
          <w:kern w:val="0"/>
          <w:sz w:val="28"/>
          <w:szCs w:val="28"/>
        </w:rPr>
      </w:pPr>
      <w:r w:rsidRPr="005F4EC9">
        <w:rPr>
          <w:rFonts w:ascii="宋体" w:cs="宋体"/>
          <w:kern w:val="0"/>
          <w:sz w:val="28"/>
          <w:szCs w:val="28"/>
        </w:rPr>
        <w:t xml:space="preserve"> 《石化科普知识》的</w:t>
      </w:r>
      <w:r w:rsidRPr="005F4EC9">
        <w:rPr>
          <w:rFonts w:ascii="宋体" w:cs="宋体" w:hint="eastAsia"/>
          <w:kern w:val="0"/>
          <w:sz w:val="28"/>
          <w:szCs w:val="28"/>
        </w:rPr>
        <w:t>出版具有广泛的社会效益，它在增加普通大众对石化产业了解的同时，也对政府和企业起到了监督的作用。一方面督促政府更加科学地管理石化产业，坚持以人为本的可持续发展之路；另一方面促使石化企业不断提高安全管理标准，实行更加严格的安全生产和环境保护措施。这种良性的循环互动，对于促进惠州大亚湾建设世界级石化基地和产城人融合发展示范区有重要意义，且此示范效应可以辐射我国当前同类型的石化园区，社会意义深远。</w:t>
      </w:r>
    </w:p>
    <w:p w:rsidR="005F4EC9" w:rsidRDefault="005F4EC9" w:rsidP="005F4EC9">
      <w:pPr>
        <w:rPr>
          <w:rFonts w:ascii="宋体" w:cs="宋体"/>
          <w:b/>
          <w:kern w:val="0"/>
          <w:sz w:val="28"/>
          <w:szCs w:val="28"/>
        </w:rPr>
      </w:pPr>
      <w:r w:rsidRPr="00DE7FC3">
        <w:rPr>
          <w:rFonts w:ascii="宋体" w:cs="宋体" w:hint="eastAsia"/>
          <w:b/>
          <w:kern w:val="0"/>
          <w:sz w:val="28"/>
          <w:szCs w:val="28"/>
        </w:rPr>
        <w:t>主要完成单位及创新推广贡献：</w:t>
      </w:r>
    </w:p>
    <w:p w:rsidR="005F4EC9" w:rsidRPr="005F4EC9" w:rsidRDefault="005F4EC9" w:rsidP="005F4EC9">
      <w:pPr>
        <w:snapToGrid w:val="0"/>
        <w:rPr>
          <w:rFonts w:ascii="宋体" w:cs="宋体"/>
          <w:kern w:val="0"/>
          <w:sz w:val="28"/>
          <w:szCs w:val="28"/>
        </w:rPr>
      </w:pPr>
      <w:r w:rsidRPr="005F4EC9">
        <w:rPr>
          <w:rFonts w:ascii="宋体" w:cs="宋体" w:hint="eastAsia"/>
          <w:kern w:val="0"/>
          <w:sz w:val="28"/>
          <w:szCs w:val="28"/>
        </w:rPr>
        <w:t>第一完成单位，中山大学：基于科普工作具有巨大的社会意义，利用自身的人才优势，组织具有多年化工从业经历的科技人员将理论与实践结合，撰写《石化科普知识》的章节内容，为民众揭开石油化学工业的层层迷雾。通过科学策划，合理安排，使得项目顺利完成。项目出版了图文并茂、彩色印刷的《石化科普知识》。《石化科普知识》是迄今国内较全面论述石油化学工业知识的创新佳作，创新性突出，对工业科普的促进作用显著，整体技术达到国内领先水平。它有效地增加了普通大众对石化产业的了解，消除对石化生产中某些正常现象的疑虑和担忧，对缓和政府、企业和周边老百姓的关系起到润滑剂的作用，具有广泛的社会效益。</w:t>
      </w:r>
    </w:p>
    <w:p w:rsidR="005F4EC9" w:rsidRDefault="005F4EC9" w:rsidP="005F4EC9">
      <w:pPr>
        <w:rPr>
          <w:rFonts w:ascii="宋体" w:cs="宋体"/>
          <w:b/>
          <w:kern w:val="0"/>
          <w:sz w:val="28"/>
          <w:szCs w:val="28"/>
        </w:rPr>
      </w:pPr>
      <w:r w:rsidRPr="00DE7FC3">
        <w:rPr>
          <w:rFonts w:ascii="宋体" w:cs="宋体" w:hint="eastAsia"/>
          <w:b/>
          <w:kern w:val="0"/>
          <w:sz w:val="28"/>
          <w:szCs w:val="28"/>
        </w:rPr>
        <w:t>推广应用情况：</w:t>
      </w: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1559"/>
        <w:gridCol w:w="1843"/>
        <w:gridCol w:w="2126"/>
        <w:gridCol w:w="1276"/>
      </w:tblGrid>
      <w:tr w:rsidR="005F4EC9" w:rsidRPr="006133B2" w:rsidTr="001C5746">
        <w:tc>
          <w:tcPr>
            <w:tcW w:w="2552" w:type="dxa"/>
            <w:shd w:val="clear" w:color="auto" w:fill="auto"/>
          </w:tcPr>
          <w:p w:rsidR="005F4EC9" w:rsidRPr="006133B2" w:rsidRDefault="005F4EC9" w:rsidP="001C5746">
            <w:pPr>
              <w:spacing w:line="400" w:lineRule="atLeast"/>
              <w:jc w:val="center"/>
              <w:rPr>
                <w:rFonts w:eastAsia="仿宋_GB2312"/>
                <w:b/>
                <w:szCs w:val="21"/>
              </w:rPr>
            </w:pPr>
            <w:r w:rsidRPr="006133B2">
              <w:rPr>
                <w:rFonts w:eastAsia="仿宋_GB2312" w:hint="eastAsia"/>
                <w:b/>
                <w:szCs w:val="21"/>
              </w:rPr>
              <w:t>应用</w:t>
            </w:r>
            <w:r w:rsidRPr="006133B2">
              <w:rPr>
                <w:rFonts w:eastAsia="仿宋_GB2312"/>
                <w:b/>
                <w:szCs w:val="21"/>
              </w:rPr>
              <w:t>单位名称</w:t>
            </w:r>
          </w:p>
        </w:tc>
        <w:tc>
          <w:tcPr>
            <w:tcW w:w="1559" w:type="dxa"/>
            <w:shd w:val="clear" w:color="auto" w:fill="auto"/>
          </w:tcPr>
          <w:p w:rsidR="005F4EC9" w:rsidRPr="006133B2" w:rsidRDefault="005F4EC9" w:rsidP="001C5746">
            <w:pPr>
              <w:spacing w:line="400" w:lineRule="atLeast"/>
              <w:jc w:val="center"/>
              <w:rPr>
                <w:rFonts w:eastAsia="仿宋_GB2312"/>
                <w:b/>
                <w:szCs w:val="21"/>
              </w:rPr>
            </w:pPr>
            <w:r w:rsidRPr="006133B2">
              <w:rPr>
                <w:rFonts w:eastAsia="仿宋_GB2312" w:hint="eastAsia"/>
                <w:b/>
                <w:szCs w:val="21"/>
              </w:rPr>
              <w:t>应用</w:t>
            </w:r>
            <w:r w:rsidRPr="006133B2">
              <w:rPr>
                <w:rFonts w:eastAsia="仿宋_GB2312"/>
                <w:b/>
                <w:szCs w:val="21"/>
              </w:rPr>
              <w:t>技术</w:t>
            </w:r>
          </w:p>
        </w:tc>
        <w:tc>
          <w:tcPr>
            <w:tcW w:w="1843" w:type="dxa"/>
            <w:shd w:val="clear" w:color="auto" w:fill="auto"/>
          </w:tcPr>
          <w:p w:rsidR="005F4EC9" w:rsidRPr="006133B2" w:rsidRDefault="005F4EC9" w:rsidP="001C5746">
            <w:pPr>
              <w:spacing w:line="400" w:lineRule="atLeast"/>
              <w:jc w:val="center"/>
              <w:rPr>
                <w:rFonts w:eastAsia="仿宋_GB2312"/>
                <w:b/>
                <w:szCs w:val="21"/>
              </w:rPr>
            </w:pPr>
            <w:r w:rsidRPr="006133B2">
              <w:rPr>
                <w:rFonts w:eastAsia="仿宋_GB2312" w:hint="eastAsia"/>
                <w:b/>
                <w:szCs w:val="21"/>
              </w:rPr>
              <w:t>应用</w:t>
            </w:r>
            <w:r w:rsidRPr="006133B2">
              <w:rPr>
                <w:rFonts w:eastAsia="仿宋_GB2312"/>
                <w:b/>
                <w:szCs w:val="21"/>
              </w:rPr>
              <w:t>的起止时间</w:t>
            </w:r>
          </w:p>
        </w:tc>
        <w:tc>
          <w:tcPr>
            <w:tcW w:w="2126" w:type="dxa"/>
            <w:shd w:val="clear" w:color="auto" w:fill="auto"/>
          </w:tcPr>
          <w:p w:rsidR="005F4EC9" w:rsidRPr="006133B2" w:rsidRDefault="005F4EC9" w:rsidP="001C5746">
            <w:pPr>
              <w:spacing w:line="400" w:lineRule="atLeast"/>
              <w:jc w:val="center"/>
              <w:rPr>
                <w:rFonts w:eastAsia="仿宋_GB2312"/>
                <w:b/>
                <w:szCs w:val="21"/>
              </w:rPr>
            </w:pPr>
            <w:r w:rsidRPr="006133B2">
              <w:rPr>
                <w:rFonts w:eastAsia="仿宋_GB2312" w:hint="eastAsia"/>
                <w:b/>
                <w:szCs w:val="21"/>
              </w:rPr>
              <w:t>应用</w:t>
            </w:r>
            <w:r w:rsidRPr="006133B2">
              <w:rPr>
                <w:rFonts w:eastAsia="仿宋_GB2312"/>
                <w:b/>
                <w:szCs w:val="21"/>
              </w:rPr>
              <w:t>单位联系人</w:t>
            </w:r>
            <w:r w:rsidRPr="006133B2">
              <w:rPr>
                <w:rFonts w:eastAsia="仿宋_GB2312"/>
                <w:b/>
                <w:szCs w:val="21"/>
              </w:rPr>
              <w:t>/</w:t>
            </w:r>
            <w:r w:rsidRPr="006133B2">
              <w:rPr>
                <w:rFonts w:eastAsia="仿宋_GB2312" w:hint="eastAsia"/>
                <w:b/>
                <w:szCs w:val="21"/>
              </w:rPr>
              <w:t>电话</w:t>
            </w:r>
          </w:p>
        </w:tc>
        <w:tc>
          <w:tcPr>
            <w:tcW w:w="1276" w:type="dxa"/>
            <w:shd w:val="clear" w:color="auto" w:fill="auto"/>
          </w:tcPr>
          <w:p w:rsidR="005F4EC9" w:rsidRPr="006133B2" w:rsidRDefault="005F4EC9" w:rsidP="001C5746">
            <w:pPr>
              <w:spacing w:line="400" w:lineRule="atLeast"/>
              <w:jc w:val="center"/>
              <w:rPr>
                <w:rFonts w:eastAsia="仿宋_GB2312"/>
                <w:b/>
                <w:szCs w:val="21"/>
              </w:rPr>
            </w:pPr>
            <w:r w:rsidRPr="006133B2">
              <w:rPr>
                <w:rFonts w:eastAsia="仿宋_GB2312" w:hint="eastAsia"/>
                <w:b/>
                <w:szCs w:val="21"/>
              </w:rPr>
              <w:t>经济效益</w:t>
            </w:r>
            <w:r w:rsidRPr="006133B2">
              <w:rPr>
                <w:rFonts w:eastAsia="仿宋_GB2312"/>
                <w:b/>
                <w:szCs w:val="21"/>
              </w:rPr>
              <w:t>（</w:t>
            </w:r>
            <w:r w:rsidRPr="006133B2">
              <w:rPr>
                <w:rFonts w:eastAsia="仿宋_GB2312" w:hint="eastAsia"/>
                <w:b/>
                <w:szCs w:val="21"/>
              </w:rPr>
              <w:t>万</w:t>
            </w:r>
            <w:r w:rsidRPr="006133B2">
              <w:rPr>
                <w:rFonts w:eastAsia="仿宋_GB2312"/>
                <w:b/>
                <w:szCs w:val="21"/>
              </w:rPr>
              <w:t>）</w:t>
            </w:r>
          </w:p>
        </w:tc>
      </w:tr>
      <w:tr w:rsidR="005F4EC9" w:rsidRPr="006133B2" w:rsidTr="001C5746">
        <w:tc>
          <w:tcPr>
            <w:tcW w:w="2552"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大亚湾石化区</w:t>
            </w:r>
            <w:r w:rsidRPr="006133B2">
              <w:rPr>
                <w:rFonts w:ascii="楷体" w:eastAsia="楷体" w:hAnsi="楷体"/>
                <w:szCs w:val="21"/>
              </w:rPr>
              <w:t>管理服务中心</w:t>
            </w:r>
          </w:p>
        </w:tc>
        <w:tc>
          <w:tcPr>
            <w:tcW w:w="1559"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石化科普知识</w:t>
            </w:r>
          </w:p>
        </w:tc>
        <w:tc>
          <w:tcPr>
            <w:tcW w:w="1843"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2013年5月</w:t>
            </w:r>
            <w:r w:rsidRPr="006133B2">
              <w:rPr>
                <w:rFonts w:ascii="楷体" w:eastAsia="楷体" w:hAnsi="楷体"/>
                <w:szCs w:val="21"/>
              </w:rPr>
              <w:t>至今</w:t>
            </w:r>
          </w:p>
        </w:tc>
        <w:tc>
          <w:tcPr>
            <w:tcW w:w="2126" w:type="dxa"/>
            <w:shd w:val="clear" w:color="auto" w:fill="auto"/>
          </w:tcPr>
          <w:p w:rsidR="005F4EC9" w:rsidRPr="006133B2" w:rsidRDefault="005F4EC9" w:rsidP="001C5746">
            <w:pPr>
              <w:spacing w:line="400" w:lineRule="atLeast"/>
              <w:jc w:val="left"/>
              <w:rPr>
                <w:rFonts w:ascii="楷体" w:eastAsia="楷体" w:hAnsi="楷体"/>
                <w:szCs w:val="21"/>
              </w:rPr>
            </w:pPr>
            <w:r w:rsidRPr="006133B2">
              <w:rPr>
                <w:rFonts w:ascii="楷体" w:eastAsia="楷体" w:hAnsi="楷体" w:hint="eastAsia"/>
                <w:szCs w:val="21"/>
              </w:rPr>
              <w:t>陈晓坚</w:t>
            </w:r>
            <w:r w:rsidRPr="006133B2">
              <w:rPr>
                <w:rFonts w:ascii="楷体" w:eastAsia="楷体" w:hAnsi="楷体"/>
                <w:szCs w:val="21"/>
              </w:rPr>
              <w:t>15811912222</w:t>
            </w:r>
          </w:p>
        </w:tc>
        <w:tc>
          <w:tcPr>
            <w:tcW w:w="1276" w:type="dxa"/>
            <w:shd w:val="clear" w:color="auto" w:fill="auto"/>
          </w:tcPr>
          <w:p w:rsidR="005F4EC9" w:rsidRPr="006133B2" w:rsidRDefault="005F4EC9" w:rsidP="001C5746">
            <w:pPr>
              <w:spacing w:line="400" w:lineRule="atLeast"/>
              <w:jc w:val="center"/>
              <w:rPr>
                <w:rFonts w:ascii="楷体" w:eastAsia="楷体" w:hAnsi="楷体"/>
                <w:szCs w:val="21"/>
              </w:rPr>
            </w:pPr>
            <w:r w:rsidRPr="006133B2">
              <w:rPr>
                <w:rFonts w:ascii="楷体" w:eastAsia="楷体" w:hAnsi="楷体" w:hint="eastAsia"/>
                <w:szCs w:val="21"/>
              </w:rPr>
              <w:t>/</w:t>
            </w:r>
          </w:p>
        </w:tc>
      </w:tr>
      <w:tr w:rsidR="005F4EC9" w:rsidRPr="006133B2" w:rsidTr="001C5746">
        <w:tc>
          <w:tcPr>
            <w:tcW w:w="2552"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大亚湾</w:t>
            </w:r>
            <w:r w:rsidRPr="006133B2">
              <w:rPr>
                <w:rFonts w:ascii="楷体" w:eastAsia="楷体" w:hAnsi="楷体"/>
                <w:szCs w:val="21"/>
              </w:rPr>
              <w:t>区群团工作部</w:t>
            </w:r>
          </w:p>
        </w:tc>
        <w:tc>
          <w:tcPr>
            <w:tcW w:w="1559"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石化科普知识</w:t>
            </w:r>
          </w:p>
        </w:tc>
        <w:tc>
          <w:tcPr>
            <w:tcW w:w="1843"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2013年</w:t>
            </w:r>
            <w:r w:rsidRPr="006133B2">
              <w:rPr>
                <w:rFonts w:ascii="楷体" w:eastAsia="楷体" w:hAnsi="楷体"/>
                <w:szCs w:val="21"/>
              </w:rPr>
              <w:t>7</w:t>
            </w:r>
            <w:r w:rsidRPr="006133B2">
              <w:rPr>
                <w:rFonts w:ascii="楷体" w:eastAsia="楷体" w:hAnsi="楷体" w:hint="eastAsia"/>
                <w:szCs w:val="21"/>
              </w:rPr>
              <w:t>月至今</w:t>
            </w:r>
          </w:p>
        </w:tc>
        <w:tc>
          <w:tcPr>
            <w:tcW w:w="2126" w:type="dxa"/>
            <w:shd w:val="clear" w:color="auto" w:fill="auto"/>
          </w:tcPr>
          <w:p w:rsidR="005F4EC9" w:rsidRPr="006133B2" w:rsidRDefault="005F4EC9" w:rsidP="001C5746">
            <w:pPr>
              <w:spacing w:line="400" w:lineRule="atLeast"/>
              <w:jc w:val="left"/>
              <w:rPr>
                <w:rFonts w:ascii="楷体" w:eastAsia="楷体" w:hAnsi="楷体"/>
                <w:szCs w:val="21"/>
              </w:rPr>
            </w:pPr>
            <w:r w:rsidRPr="006133B2">
              <w:rPr>
                <w:rFonts w:ascii="楷体" w:eastAsia="楷体" w:hAnsi="楷体" w:hint="eastAsia"/>
                <w:szCs w:val="21"/>
              </w:rPr>
              <w:t>陈志敏</w:t>
            </w:r>
            <w:r w:rsidRPr="006133B2">
              <w:rPr>
                <w:rFonts w:ascii="楷体" w:eastAsia="楷体" w:hAnsi="楷体"/>
                <w:szCs w:val="21"/>
              </w:rPr>
              <w:t>13824240362</w:t>
            </w:r>
          </w:p>
        </w:tc>
        <w:tc>
          <w:tcPr>
            <w:tcW w:w="1276" w:type="dxa"/>
            <w:shd w:val="clear" w:color="auto" w:fill="auto"/>
          </w:tcPr>
          <w:p w:rsidR="005F4EC9" w:rsidRPr="006133B2" w:rsidRDefault="005F4EC9" w:rsidP="001C5746">
            <w:pPr>
              <w:spacing w:line="400" w:lineRule="atLeast"/>
              <w:jc w:val="center"/>
              <w:rPr>
                <w:rFonts w:ascii="楷体" w:eastAsia="楷体" w:hAnsi="楷体"/>
                <w:szCs w:val="21"/>
              </w:rPr>
            </w:pPr>
            <w:r w:rsidRPr="006133B2">
              <w:rPr>
                <w:rFonts w:ascii="楷体" w:eastAsia="楷体" w:hAnsi="楷体" w:hint="eastAsia"/>
                <w:szCs w:val="21"/>
              </w:rPr>
              <w:t>/</w:t>
            </w:r>
          </w:p>
        </w:tc>
      </w:tr>
      <w:tr w:rsidR="005F4EC9" w:rsidRPr="006133B2" w:rsidTr="001C5746">
        <w:tc>
          <w:tcPr>
            <w:tcW w:w="2552"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lastRenderedPageBreak/>
              <w:t>中海石油</w:t>
            </w:r>
            <w:r w:rsidRPr="006133B2">
              <w:rPr>
                <w:rFonts w:ascii="楷体" w:eastAsia="楷体" w:hAnsi="楷体"/>
                <w:szCs w:val="21"/>
              </w:rPr>
              <w:t>炼化有限</w:t>
            </w:r>
            <w:r w:rsidRPr="006133B2">
              <w:rPr>
                <w:rFonts w:ascii="楷体" w:eastAsia="楷体" w:hAnsi="楷体" w:hint="eastAsia"/>
                <w:szCs w:val="21"/>
              </w:rPr>
              <w:t>责任</w:t>
            </w:r>
            <w:r w:rsidRPr="006133B2">
              <w:rPr>
                <w:rFonts w:ascii="楷体" w:eastAsia="楷体" w:hAnsi="楷体"/>
                <w:szCs w:val="21"/>
              </w:rPr>
              <w:t>公司</w:t>
            </w:r>
            <w:r w:rsidRPr="006133B2">
              <w:rPr>
                <w:rFonts w:ascii="楷体" w:eastAsia="楷体" w:hAnsi="楷体" w:hint="eastAsia"/>
                <w:szCs w:val="21"/>
              </w:rPr>
              <w:t>惠州</w:t>
            </w:r>
            <w:r w:rsidRPr="006133B2">
              <w:rPr>
                <w:rFonts w:ascii="楷体" w:eastAsia="楷体" w:hAnsi="楷体"/>
                <w:szCs w:val="21"/>
              </w:rPr>
              <w:t>炼化分公司</w:t>
            </w:r>
          </w:p>
        </w:tc>
        <w:tc>
          <w:tcPr>
            <w:tcW w:w="1559"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石化科普知识</w:t>
            </w:r>
          </w:p>
        </w:tc>
        <w:tc>
          <w:tcPr>
            <w:tcW w:w="1843"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2013年5月至今</w:t>
            </w:r>
          </w:p>
        </w:tc>
        <w:tc>
          <w:tcPr>
            <w:tcW w:w="2126"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庄</w:t>
            </w:r>
            <w:r w:rsidRPr="006133B2">
              <w:rPr>
                <w:rFonts w:ascii="楷体" w:eastAsia="楷体" w:hAnsi="楷体"/>
                <w:szCs w:val="21"/>
              </w:rPr>
              <w:t>卡0752-3685088</w:t>
            </w:r>
          </w:p>
        </w:tc>
        <w:tc>
          <w:tcPr>
            <w:tcW w:w="1276" w:type="dxa"/>
            <w:shd w:val="clear" w:color="auto" w:fill="auto"/>
          </w:tcPr>
          <w:p w:rsidR="005F4EC9" w:rsidRPr="006133B2" w:rsidRDefault="005F4EC9" w:rsidP="001C5746">
            <w:pPr>
              <w:spacing w:line="400" w:lineRule="atLeast"/>
              <w:jc w:val="center"/>
              <w:rPr>
                <w:rFonts w:ascii="楷体" w:eastAsia="楷体" w:hAnsi="楷体"/>
                <w:szCs w:val="21"/>
              </w:rPr>
            </w:pPr>
            <w:r w:rsidRPr="006133B2">
              <w:rPr>
                <w:rFonts w:ascii="楷体" w:eastAsia="楷体" w:hAnsi="楷体" w:hint="eastAsia"/>
                <w:szCs w:val="21"/>
              </w:rPr>
              <w:t>/</w:t>
            </w:r>
          </w:p>
        </w:tc>
      </w:tr>
      <w:tr w:rsidR="005F4EC9" w:rsidRPr="006133B2" w:rsidTr="001C5746">
        <w:tc>
          <w:tcPr>
            <w:tcW w:w="2552"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大亚湾</w:t>
            </w:r>
            <w:r w:rsidRPr="006133B2">
              <w:rPr>
                <w:rFonts w:ascii="楷体" w:eastAsia="楷体" w:hAnsi="楷体"/>
                <w:szCs w:val="21"/>
              </w:rPr>
              <w:t>区宣教局</w:t>
            </w:r>
          </w:p>
        </w:tc>
        <w:tc>
          <w:tcPr>
            <w:tcW w:w="1559"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石化科普知识</w:t>
            </w:r>
          </w:p>
        </w:tc>
        <w:tc>
          <w:tcPr>
            <w:tcW w:w="1843"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2013年</w:t>
            </w:r>
            <w:r w:rsidRPr="006133B2">
              <w:rPr>
                <w:rFonts w:ascii="楷体" w:eastAsia="楷体" w:hAnsi="楷体"/>
                <w:szCs w:val="21"/>
              </w:rPr>
              <w:t>11</w:t>
            </w:r>
            <w:r w:rsidRPr="006133B2">
              <w:rPr>
                <w:rFonts w:ascii="楷体" w:eastAsia="楷体" w:hAnsi="楷体" w:hint="eastAsia"/>
                <w:szCs w:val="21"/>
              </w:rPr>
              <w:t>月至今</w:t>
            </w:r>
          </w:p>
        </w:tc>
        <w:tc>
          <w:tcPr>
            <w:tcW w:w="2126"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孙宏英</w:t>
            </w:r>
            <w:r w:rsidRPr="006133B2">
              <w:rPr>
                <w:rFonts w:ascii="楷体" w:eastAsia="楷体" w:hAnsi="楷体"/>
                <w:szCs w:val="21"/>
              </w:rPr>
              <w:t>13829995107</w:t>
            </w:r>
          </w:p>
        </w:tc>
        <w:tc>
          <w:tcPr>
            <w:tcW w:w="1276" w:type="dxa"/>
            <w:shd w:val="clear" w:color="auto" w:fill="auto"/>
          </w:tcPr>
          <w:p w:rsidR="005F4EC9" w:rsidRPr="006133B2" w:rsidRDefault="005F4EC9" w:rsidP="001C5746">
            <w:pPr>
              <w:spacing w:line="400" w:lineRule="atLeast"/>
              <w:jc w:val="center"/>
              <w:rPr>
                <w:rFonts w:ascii="楷体" w:eastAsia="楷体" w:hAnsi="楷体"/>
                <w:szCs w:val="21"/>
              </w:rPr>
            </w:pPr>
            <w:r w:rsidRPr="006133B2">
              <w:rPr>
                <w:rFonts w:ascii="楷体" w:eastAsia="楷体" w:hAnsi="楷体" w:hint="eastAsia"/>
                <w:szCs w:val="21"/>
              </w:rPr>
              <w:t>/</w:t>
            </w:r>
          </w:p>
        </w:tc>
      </w:tr>
      <w:tr w:rsidR="005F4EC9" w:rsidRPr="006133B2" w:rsidTr="001C5746">
        <w:tc>
          <w:tcPr>
            <w:tcW w:w="2552"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大亚湾区</w:t>
            </w:r>
            <w:r w:rsidRPr="006133B2">
              <w:rPr>
                <w:rFonts w:ascii="楷体" w:eastAsia="楷体" w:hAnsi="楷体"/>
                <w:szCs w:val="21"/>
              </w:rPr>
              <w:t>第一中学</w:t>
            </w:r>
          </w:p>
        </w:tc>
        <w:tc>
          <w:tcPr>
            <w:tcW w:w="1559"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石化科普知识</w:t>
            </w:r>
          </w:p>
        </w:tc>
        <w:tc>
          <w:tcPr>
            <w:tcW w:w="1843"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2013年7月至今</w:t>
            </w:r>
          </w:p>
        </w:tc>
        <w:tc>
          <w:tcPr>
            <w:tcW w:w="2126"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李育球</w:t>
            </w:r>
            <w:r w:rsidRPr="006133B2">
              <w:rPr>
                <w:rFonts w:ascii="楷体" w:eastAsia="楷体" w:hAnsi="楷体"/>
                <w:szCs w:val="21"/>
              </w:rPr>
              <w:t>13719644880</w:t>
            </w:r>
          </w:p>
        </w:tc>
        <w:tc>
          <w:tcPr>
            <w:tcW w:w="1276" w:type="dxa"/>
            <w:shd w:val="clear" w:color="auto" w:fill="auto"/>
          </w:tcPr>
          <w:p w:rsidR="005F4EC9" w:rsidRPr="006133B2" w:rsidRDefault="005F4EC9" w:rsidP="001C5746">
            <w:pPr>
              <w:spacing w:line="400" w:lineRule="atLeast"/>
              <w:jc w:val="center"/>
              <w:rPr>
                <w:rFonts w:ascii="楷体" w:eastAsia="楷体" w:hAnsi="楷体"/>
                <w:szCs w:val="21"/>
              </w:rPr>
            </w:pPr>
            <w:r w:rsidRPr="006133B2">
              <w:rPr>
                <w:rFonts w:ascii="楷体" w:eastAsia="楷体" w:hAnsi="楷体" w:hint="eastAsia"/>
                <w:szCs w:val="21"/>
              </w:rPr>
              <w:t>/</w:t>
            </w:r>
          </w:p>
        </w:tc>
      </w:tr>
      <w:tr w:rsidR="005F4EC9" w:rsidRPr="006133B2" w:rsidTr="001C5746">
        <w:tc>
          <w:tcPr>
            <w:tcW w:w="2552"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湖北省</w:t>
            </w:r>
            <w:r w:rsidRPr="006133B2">
              <w:rPr>
                <w:rFonts w:ascii="楷体" w:eastAsia="楷体" w:hAnsi="楷体"/>
                <w:szCs w:val="21"/>
              </w:rPr>
              <w:t>松滋市临港工业园</w:t>
            </w:r>
          </w:p>
        </w:tc>
        <w:tc>
          <w:tcPr>
            <w:tcW w:w="1559"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石化科普知识</w:t>
            </w:r>
          </w:p>
        </w:tc>
        <w:tc>
          <w:tcPr>
            <w:tcW w:w="1843"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2013年5月至今</w:t>
            </w:r>
          </w:p>
        </w:tc>
        <w:tc>
          <w:tcPr>
            <w:tcW w:w="2126" w:type="dxa"/>
            <w:shd w:val="clear" w:color="auto" w:fill="auto"/>
          </w:tcPr>
          <w:p w:rsidR="005F4EC9" w:rsidRPr="006133B2" w:rsidRDefault="005F4EC9" w:rsidP="001C5746">
            <w:pPr>
              <w:spacing w:line="400" w:lineRule="atLeast"/>
              <w:rPr>
                <w:rFonts w:ascii="楷体" w:eastAsia="楷体" w:hAnsi="楷体"/>
                <w:szCs w:val="21"/>
              </w:rPr>
            </w:pPr>
            <w:r w:rsidRPr="006133B2">
              <w:rPr>
                <w:rFonts w:ascii="楷体" w:eastAsia="楷体" w:hAnsi="楷体" w:hint="eastAsia"/>
                <w:szCs w:val="21"/>
              </w:rPr>
              <w:t>李玲</w:t>
            </w:r>
            <w:r w:rsidRPr="006133B2">
              <w:rPr>
                <w:rFonts w:ascii="楷体" w:eastAsia="楷体" w:hAnsi="楷体"/>
                <w:szCs w:val="21"/>
              </w:rPr>
              <w:t>18086193395</w:t>
            </w:r>
          </w:p>
        </w:tc>
        <w:tc>
          <w:tcPr>
            <w:tcW w:w="1276" w:type="dxa"/>
            <w:shd w:val="clear" w:color="auto" w:fill="auto"/>
          </w:tcPr>
          <w:p w:rsidR="005F4EC9" w:rsidRPr="006133B2" w:rsidRDefault="005F4EC9" w:rsidP="001C5746">
            <w:pPr>
              <w:spacing w:line="400" w:lineRule="atLeast"/>
              <w:jc w:val="center"/>
              <w:rPr>
                <w:rFonts w:ascii="楷体" w:eastAsia="楷体" w:hAnsi="楷体"/>
                <w:szCs w:val="21"/>
              </w:rPr>
            </w:pPr>
            <w:r w:rsidRPr="006133B2">
              <w:rPr>
                <w:rFonts w:ascii="楷体" w:eastAsia="楷体" w:hAnsi="楷体" w:hint="eastAsia"/>
                <w:szCs w:val="21"/>
              </w:rPr>
              <w:t>/</w:t>
            </w:r>
          </w:p>
        </w:tc>
      </w:tr>
    </w:tbl>
    <w:p w:rsidR="005F4EC9" w:rsidRPr="00DE7FC3" w:rsidRDefault="005F4EC9" w:rsidP="005F4EC9">
      <w:pPr>
        <w:rPr>
          <w:rFonts w:ascii="宋体" w:cs="宋体"/>
          <w:b/>
          <w:kern w:val="0"/>
          <w:sz w:val="28"/>
          <w:szCs w:val="28"/>
        </w:rPr>
      </w:pPr>
    </w:p>
    <w:p w:rsidR="005F4EC9" w:rsidRDefault="005F4EC9" w:rsidP="005F4EC9">
      <w:pPr>
        <w:rPr>
          <w:rFonts w:ascii="宋体" w:cs="宋体"/>
          <w:b/>
          <w:kern w:val="0"/>
          <w:sz w:val="28"/>
          <w:szCs w:val="28"/>
        </w:rPr>
      </w:pPr>
      <w:r w:rsidRPr="00DE7FC3">
        <w:rPr>
          <w:rFonts w:ascii="宋体" w:cs="宋体" w:hint="eastAsia"/>
          <w:b/>
          <w:kern w:val="0"/>
          <w:sz w:val="28"/>
          <w:szCs w:val="28"/>
        </w:rPr>
        <w:t>曾获科技奖励情况：</w:t>
      </w:r>
    </w:p>
    <w:tbl>
      <w:tblPr>
        <w:tblW w:w="9526" w:type="dxa"/>
        <w:jc w:val="center"/>
        <w:tblLayout w:type="fixed"/>
        <w:tblCellMar>
          <w:left w:w="0" w:type="dxa"/>
          <w:right w:w="0" w:type="dxa"/>
        </w:tblCellMar>
        <w:tblLook w:val="04A0"/>
      </w:tblPr>
      <w:tblGrid>
        <w:gridCol w:w="3206"/>
        <w:gridCol w:w="1440"/>
        <w:gridCol w:w="1559"/>
        <w:gridCol w:w="1197"/>
        <w:gridCol w:w="2124"/>
      </w:tblGrid>
      <w:tr w:rsidR="005F4EC9" w:rsidRPr="004D7137" w:rsidTr="001C5746">
        <w:trPr>
          <w:cantSplit/>
          <w:trHeight w:val="719"/>
          <w:jc w:val="center"/>
        </w:trPr>
        <w:tc>
          <w:tcPr>
            <w:tcW w:w="3204" w:type="dxa"/>
            <w:tcBorders>
              <w:top w:val="single" w:sz="12" w:space="0" w:color="000000"/>
              <w:left w:val="single" w:sz="12" w:space="0" w:color="000000"/>
              <w:bottom w:val="single" w:sz="8" w:space="0" w:color="000000"/>
              <w:right w:val="single" w:sz="8" w:space="0" w:color="auto"/>
            </w:tcBorders>
            <w:tcMar>
              <w:top w:w="0" w:type="dxa"/>
              <w:left w:w="28" w:type="dxa"/>
              <w:bottom w:w="0" w:type="dxa"/>
              <w:right w:w="28" w:type="dxa"/>
            </w:tcMar>
            <w:vAlign w:val="center"/>
          </w:tcPr>
          <w:p w:rsidR="005F4EC9" w:rsidRPr="004D7137" w:rsidRDefault="005F4EC9" w:rsidP="001C5746">
            <w:pPr>
              <w:widowControl/>
              <w:spacing w:line="360" w:lineRule="atLeast"/>
              <w:jc w:val="center"/>
              <w:rPr>
                <w:kern w:val="0"/>
                <w:szCs w:val="21"/>
              </w:rPr>
            </w:pPr>
            <w:r w:rsidRPr="004D7137">
              <w:rPr>
                <w:rFonts w:ascii="宋体" w:hAnsi="宋体" w:hint="eastAsia"/>
                <w:kern w:val="0"/>
                <w:sz w:val="24"/>
              </w:rPr>
              <w:t>获奖项目名称</w:t>
            </w:r>
          </w:p>
        </w:tc>
        <w:tc>
          <w:tcPr>
            <w:tcW w:w="1440" w:type="dxa"/>
            <w:tcBorders>
              <w:top w:val="single" w:sz="12" w:space="0" w:color="000000"/>
              <w:left w:val="nil"/>
              <w:bottom w:val="single" w:sz="8" w:space="0" w:color="000000"/>
              <w:right w:val="single" w:sz="8" w:space="0" w:color="000000"/>
            </w:tcBorders>
            <w:tcMar>
              <w:top w:w="0" w:type="dxa"/>
              <w:left w:w="28" w:type="dxa"/>
              <w:bottom w:w="0" w:type="dxa"/>
              <w:right w:w="28" w:type="dxa"/>
            </w:tcMar>
            <w:vAlign w:val="center"/>
          </w:tcPr>
          <w:p w:rsidR="005F4EC9" w:rsidRPr="004D7137" w:rsidRDefault="005F4EC9" w:rsidP="001C5746">
            <w:pPr>
              <w:widowControl/>
              <w:spacing w:line="360" w:lineRule="atLeast"/>
              <w:jc w:val="center"/>
              <w:rPr>
                <w:kern w:val="0"/>
                <w:szCs w:val="21"/>
              </w:rPr>
            </w:pPr>
            <w:r w:rsidRPr="004D7137">
              <w:rPr>
                <w:rFonts w:ascii="宋体" w:hAnsi="宋体" w:hint="eastAsia"/>
                <w:kern w:val="0"/>
                <w:sz w:val="24"/>
              </w:rPr>
              <w:t>获奖时间</w:t>
            </w:r>
          </w:p>
        </w:tc>
        <w:tc>
          <w:tcPr>
            <w:tcW w:w="1559" w:type="dxa"/>
            <w:tcBorders>
              <w:top w:val="single" w:sz="12" w:space="0" w:color="000000"/>
              <w:left w:val="nil"/>
              <w:bottom w:val="single" w:sz="8" w:space="0" w:color="000000"/>
              <w:right w:val="single" w:sz="8" w:space="0" w:color="000000"/>
            </w:tcBorders>
            <w:tcMar>
              <w:top w:w="0" w:type="dxa"/>
              <w:left w:w="28" w:type="dxa"/>
              <w:bottom w:w="0" w:type="dxa"/>
              <w:right w:w="28" w:type="dxa"/>
            </w:tcMar>
            <w:vAlign w:val="center"/>
          </w:tcPr>
          <w:p w:rsidR="005F4EC9" w:rsidRPr="004D7137" w:rsidRDefault="005F4EC9" w:rsidP="001C5746">
            <w:pPr>
              <w:widowControl/>
              <w:spacing w:line="360" w:lineRule="atLeast"/>
              <w:jc w:val="center"/>
              <w:rPr>
                <w:kern w:val="0"/>
                <w:szCs w:val="21"/>
              </w:rPr>
            </w:pPr>
            <w:r w:rsidRPr="004D7137">
              <w:rPr>
                <w:rFonts w:ascii="宋体" w:hAnsi="宋体" w:hint="eastAsia"/>
                <w:kern w:val="0"/>
                <w:sz w:val="24"/>
              </w:rPr>
              <w:t>奖项名称</w:t>
            </w:r>
          </w:p>
        </w:tc>
        <w:tc>
          <w:tcPr>
            <w:tcW w:w="1197" w:type="dxa"/>
            <w:tcBorders>
              <w:top w:val="single" w:sz="12" w:space="0" w:color="000000"/>
              <w:left w:val="nil"/>
              <w:bottom w:val="single" w:sz="8" w:space="0" w:color="000000"/>
              <w:right w:val="single" w:sz="8" w:space="0" w:color="000000"/>
            </w:tcBorders>
            <w:tcMar>
              <w:top w:w="0" w:type="dxa"/>
              <w:left w:w="28" w:type="dxa"/>
              <w:bottom w:w="0" w:type="dxa"/>
              <w:right w:w="28" w:type="dxa"/>
            </w:tcMar>
            <w:vAlign w:val="center"/>
          </w:tcPr>
          <w:p w:rsidR="005F4EC9" w:rsidRPr="004D7137" w:rsidRDefault="005F4EC9" w:rsidP="001C5746">
            <w:pPr>
              <w:widowControl/>
              <w:spacing w:line="360" w:lineRule="atLeast"/>
              <w:jc w:val="center"/>
              <w:rPr>
                <w:kern w:val="0"/>
                <w:szCs w:val="21"/>
              </w:rPr>
            </w:pPr>
            <w:r w:rsidRPr="004D7137">
              <w:rPr>
                <w:rFonts w:ascii="宋体" w:hAnsi="宋体" w:hint="eastAsia"/>
                <w:kern w:val="0"/>
                <w:sz w:val="24"/>
              </w:rPr>
              <w:t>奖励等级</w:t>
            </w:r>
          </w:p>
        </w:tc>
        <w:tc>
          <w:tcPr>
            <w:tcW w:w="2124" w:type="dxa"/>
            <w:tcBorders>
              <w:top w:val="single" w:sz="12" w:space="0" w:color="000000"/>
              <w:left w:val="nil"/>
              <w:bottom w:val="single" w:sz="8" w:space="0" w:color="000000"/>
              <w:right w:val="single" w:sz="12" w:space="0" w:color="000000"/>
            </w:tcBorders>
            <w:tcMar>
              <w:top w:w="0" w:type="dxa"/>
              <w:left w:w="28" w:type="dxa"/>
              <w:bottom w:w="0" w:type="dxa"/>
              <w:right w:w="28" w:type="dxa"/>
            </w:tcMar>
            <w:vAlign w:val="center"/>
          </w:tcPr>
          <w:p w:rsidR="005F4EC9" w:rsidRPr="004D7137" w:rsidRDefault="005F4EC9" w:rsidP="001C5746">
            <w:pPr>
              <w:widowControl/>
              <w:spacing w:line="360" w:lineRule="atLeast"/>
              <w:jc w:val="center"/>
              <w:rPr>
                <w:kern w:val="0"/>
                <w:szCs w:val="21"/>
              </w:rPr>
            </w:pPr>
            <w:r w:rsidRPr="004D7137">
              <w:rPr>
                <w:rFonts w:ascii="宋体" w:hAnsi="宋体" w:hint="eastAsia"/>
                <w:kern w:val="0"/>
                <w:sz w:val="24"/>
              </w:rPr>
              <w:t>授奖部门（单位）</w:t>
            </w:r>
          </w:p>
        </w:tc>
      </w:tr>
      <w:tr w:rsidR="005F4EC9" w:rsidRPr="004D7137" w:rsidTr="001C5746">
        <w:trPr>
          <w:cantSplit/>
          <w:trHeight w:hRule="exact" w:val="788"/>
          <w:jc w:val="center"/>
        </w:trPr>
        <w:tc>
          <w:tcPr>
            <w:tcW w:w="3204" w:type="dxa"/>
            <w:tcBorders>
              <w:top w:val="nil"/>
              <w:left w:val="single" w:sz="12" w:space="0" w:color="000000"/>
              <w:bottom w:val="single" w:sz="8" w:space="0" w:color="000000"/>
              <w:right w:val="single" w:sz="8" w:space="0" w:color="auto"/>
            </w:tcBorders>
            <w:tcMar>
              <w:top w:w="0" w:type="dxa"/>
              <w:left w:w="28" w:type="dxa"/>
              <w:bottom w:w="0" w:type="dxa"/>
              <w:right w:w="28" w:type="dxa"/>
            </w:tcMar>
            <w:vAlign w:val="center"/>
          </w:tcPr>
          <w:p w:rsidR="005F4EC9" w:rsidRPr="00281AF9" w:rsidRDefault="005F4EC9" w:rsidP="001C5746">
            <w:pPr>
              <w:widowControl/>
              <w:spacing w:line="220" w:lineRule="exact"/>
              <w:jc w:val="left"/>
              <w:rPr>
                <w:rFonts w:eastAsia="仿宋"/>
                <w:kern w:val="0"/>
                <w:sz w:val="18"/>
                <w:szCs w:val="18"/>
              </w:rPr>
            </w:pPr>
            <w:r>
              <w:rPr>
                <w:rFonts w:eastAsia="仿宋" w:hint="eastAsia"/>
                <w:kern w:val="0"/>
                <w:sz w:val="18"/>
                <w:szCs w:val="18"/>
              </w:rPr>
              <w:t>石化科普知识</w:t>
            </w:r>
          </w:p>
        </w:tc>
        <w:tc>
          <w:tcPr>
            <w:tcW w:w="1440" w:type="dxa"/>
            <w:tcBorders>
              <w:top w:val="nil"/>
              <w:left w:val="nil"/>
              <w:bottom w:val="single" w:sz="8" w:space="0" w:color="000000"/>
              <w:right w:val="single" w:sz="8" w:space="0" w:color="000000"/>
            </w:tcBorders>
            <w:tcMar>
              <w:top w:w="0" w:type="dxa"/>
              <w:left w:w="28" w:type="dxa"/>
              <w:bottom w:w="0" w:type="dxa"/>
              <w:right w:w="28" w:type="dxa"/>
            </w:tcMar>
            <w:vAlign w:val="center"/>
          </w:tcPr>
          <w:p w:rsidR="005F4EC9" w:rsidRPr="00281AF9" w:rsidRDefault="005F4EC9" w:rsidP="001C5746">
            <w:pPr>
              <w:widowControl/>
              <w:spacing w:line="220" w:lineRule="exact"/>
              <w:jc w:val="left"/>
              <w:rPr>
                <w:rFonts w:eastAsia="仿宋"/>
                <w:kern w:val="0"/>
                <w:sz w:val="18"/>
                <w:szCs w:val="18"/>
              </w:rPr>
            </w:pPr>
            <w:r>
              <w:rPr>
                <w:rFonts w:eastAsia="仿宋"/>
                <w:kern w:val="0"/>
                <w:sz w:val="18"/>
                <w:szCs w:val="18"/>
              </w:rPr>
              <w:t>2015-03-01</w:t>
            </w:r>
          </w:p>
        </w:tc>
        <w:tc>
          <w:tcPr>
            <w:tcW w:w="1559" w:type="dxa"/>
            <w:tcBorders>
              <w:top w:val="nil"/>
              <w:left w:val="nil"/>
              <w:bottom w:val="single" w:sz="8" w:space="0" w:color="000000"/>
              <w:right w:val="single" w:sz="8" w:space="0" w:color="000000"/>
            </w:tcBorders>
            <w:tcMar>
              <w:top w:w="0" w:type="dxa"/>
              <w:left w:w="28" w:type="dxa"/>
              <w:bottom w:w="0" w:type="dxa"/>
              <w:right w:w="28" w:type="dxa"/>
            </w:tcMar>
            <w:vAlign w:val="center"/>
          </w:tcPr>
          <w:p w:rsidR="005F4EC9" w:rsidRPr="00281AF9" w:rsidRDefault="005F4EC9" w:rsidP="001C5746">
            <w:pPr>
              <w:widowControl/>
              <w:spacing w:line="220" w:lineRule="exact"/>
              <w:jc w:val="left"/>
              <w:rPr>
                <w:rFonts w:eastAsia="仿宋"/>
                <w:kern w:val="0"/>
                <w:sz w:val="18"/>
                <w:szCs w:val="18"/>
              </w:rPr>
            </w:pPr>
            <w:r>
              <w:rPr>
                <w:rFonts w:eastAsia="仿宋" w:hint="eastAsia"/>
                <w:kern w:val="0"/>
                <w:sz w:val="18"/>
                <w:szCs w:val="18"/>
              </w:rPr>
              <w:t>2014</w:t>
            </w:r>
            <w:r>
              <w:rPr>
                <w:rFonts w:eastAsia="仿宋" w:hint="eastAsia"/>
                <w:kern w:val="0"/>
                <w:sz w:val="18"/>
                <w:szCs w:val="18"/>
              </w:rPr>
              <w:t>年中国石油和化学工业优秀出版物奖</w:t>
            </w:r>
          </w:p>
        </w:tc>
        <w:tc>
          <w:tcPr>
            <w:tcW w:w="1197" w:type="dxa"/>
            <w:tcBorders>
              <w:top w:val="nil"/>
              <w:left w:val="nil"/>
              <w:bottom w:val="single" w:sz="8" w:space="0" w:color="000000"/>
              <w:right w:val="single" w:sz="8" w:space="0" w:color="000000"/>
            </w:tcBorders>
            <w:tcMar>
              <w:top w:w="0" w:type="dxa"/>
              <w:left w:w="28" w:type="dxa"/>
              <w:bottom w:w="0" w:type="dxa"/>
              <w:right w:w="28" w:type="dxa"/>
            </w:tcMar>
            <w:vAlign w:val="center"/>
          </w:tcPr>
          <w:p w:rsidR="005F4EC9" w:rsidRPr="00281AF9" w:rsidRDefault="005F4EC9" w:rsidP="001C5746">
            <w:pPr>
              <w:widowControl/>
              <w:spacing w:line="220" w:lineRule="exact"/>
              <w:jc w:val="left"/>
              <w:rPr>
                <w:rFonts w:eastAsia="仿宋"/>
                <w:kern w:val="0"/>
                <w:sz w:val="18"/>
                <w:szCs w:val="18"/>
              </w:rPr>
            </w:pPr>
            <w:r>
              <w:rPr>
                <w:rFonts w:eastAsia="仿宋" w:hint="eastAsia"/>
                <w:kern w:val="0"/>
                <w:sz w:val="18"/>
                <w:szCs w:val="18"/>
              </w:rPr>
              <w:t>二等奖</w:t>
            </w:r>
          </w:p>
        </w:tc>
        <w:tc>
          <w:tcPr>
            <w:tcW w:w="2124" w:type="dxa"/>
            <w:tcBorders>
              <w:top w:val="nil"/>
              <w:left w:val="nil"/>
              <w:bottom w:val="single" w:sz="8" w:space="0" w:color="000000"/>
              <w:right w:val="single" w:sz="12" w:space="0" w:color="000000"/>
            </w:tcBorders>
            <w:tcMar>
              <w:top w:w="0" w:type="dxa"/>
              <w:left w:w="28" w:type="dxa"/>
              <w:bottom w:w="0" w:type="dxa"/>
              <w:right w:w="28" w:type="dxa"/>
            </w:tcMar>
            <w:vAlign w:val="center"/>
          </w:tcPr>
          <w:p w:rsidR="005F4EC9" w:rsidRPr="00281AF9" w:rsidRDefault="005F4EC9" w:rsidP="001C5746">
            <w:pPr>
              <w:widowControl/>
              <w:spacing w:line="220" w:lineRule="exact"/>
              <w:jc w:val="left"/>
              <w:rPr>
                <w:rFonts w:eastAsia="仿宋"/>
                <w:kern w:val="0"/>
                <w:sz w:val="18"/>
                <w:szCs w:val="18"/>
              </w:rPr>
            </w:pPr>
            <w:r>
              <w:rPr>
                <w:rFonts w:eastAsia="仿宋" w:hint="eastAsia"/>
                <w:kern w:val="0"/>
                <w:sz w:val="18"/>
                <w:szCs w:val="18"/>
              </w:rPr>
              <w:t>中国石油和化学工业联合会</w:t>
            </w:r>
          </w:p>
        </w:tc>
      </w:tr>
    </w:tbl>
    <w:p w:rsidR="005F4EC9" w:rsidRPr="00056A55" w:rsidRDefault="005F4EC9" w:rsidP="005F4EC9">
      <w:pPr>
        <w:rPr>
          <w:rFonts w:ascii="宋体" w:cs="宋体"/>
          <w:b/>
          <w:kern w:val="0"/>
          <w:sz w:val="28"/>
          <w:szCs w:val="28"/>
        </w:rPr>
      </w:pPr>
    </w:p>
    <w:p w:rsidR="005F4EC9" w:rsidRPr="00DE7FC3" w:rsidRDefault="005F4EC9" w:rsidP="005F4EC9">
      <w:pPr>
        <w:rPr>
          <w:rFonts w:ascii="宋体" w:cs="宋体"/>
          <w:b/>
          <w:kern w:val="0"/>
          <w:sz w:val="28"/>
          <w:szCs w:val="28"/>
        </w:rPr>
      </w:pPr>
      <w:r w:rsidRPr="00DE7FC3">
        <w:rPr>
          <w:rFonts w:ascii="宋体" w:cs="宋体" w:hint="eastAsia"/>
          <w:b/>
          <w:kern w:val="0"/>
          <w:sz w:val="28"/>
          <w:szCs w:val="28"/>
        </w:rPr>
        <w:t>主要知识产权证明目录：</w:t>
      </w:r>
    </w:p>
    <w:p w:rsidR="005F4EC9" w:rsidRDefault="005F4EC9" w:rsidP="005F4EC9">
      <w:pPr>
        <w:rPr>
          <w:rFonts w:ascii="宋体" w:cs="宋体"/>
          <w:b/>
          <w:kern w:val="0"/>
          <w:sz w:val="28"/>
          <w:szCs w:val="28"/>
        </w:rPr>
      </w:pPr>
      <w:r>
        <w:rPr>
          <w:rFonts w:ascii="宋体" w:cs="宋体" w:hint="eastAsia"/>
          <w:b/>
          <w:kern w:val="0"/>
          <w:sz w:val="28"/>
          <w:szCs w:val="28"/>
        </w:rPr>
        <w:t>无</w:t>
      </w:r>
    </w:p>
    <w:p w:rsidR="005F4EC9" w:rsidRPr="00DE7FC3" w:rsidRDefault="005F4EC9" w:rsidP="005F4EC9">
      <w:pPr>
        <w:rPr>
          <w:rFonts w:ascii="宋体" w:cs="宋体"/>
          <w:b/>
          <w:kern w:val="0"/>
          <w:sz w:val="28"/>
          <w:szCs w:val="28"/>
        </w:rPr>
      </w:pPr>
    </w:p>
    <w:p w:rsidR="005F4EC9" w:rsidRPr="006935CD" w:rsidRDefault="005F4EC9" w:rsidP="005F4EC9">
      <w:pPr>
        <w:rPr>
          <w:rFonts w:ascii="宋体" w:cs="宋体"/>
          <w:b/>
          <w:kern w:val="0"/>
          <w:sz w:val="28"/>
          <w:szCs w:val="28"/>
        </w:rPr>
      </w:pPr>
      <w:r w:rsidRPr="006935CD">
        <w:rPr>
          <w:rFonts w:ascii="宋体" w:cs="宋体" w:hint="eastAsia"/>
          <w:b/>
          <w:kern w:val="0"/>
          <w:sz w:val="28"/>
          <w:szCs w:val="28"/>
        </w:rPr>
        <w:t>主要完成人情况表：</w:t>
      </w:r>
    </w:p>
    <w:p w:rsidR="005F4EC9" w:rsidRDefault="005F4EC9" w:rsidP="005F4EC9">
      <w:pPr>
        <w:rPr>
          <w:rFonts w:ascii="宋体" w:cs="宋体"/>
          <w:kern w:val="0"/>
          <w:sz w:val="28"/>
          <w:szCs w:val="28"/>
        </w:rPr>
      </w:pPr>
      <w:r>
        <w:rPr>
          <w:rFonts w:ascii="宋体" w:cs="宋体" w:hint="eastAsia"/>
          <w:kern w:val="0"/>
          <w:sz w:val="28"/>
          <w:szCs w:val="28"/>
        </w:rPr>
        <w:t>1.</w:t>
      </w:r>
      <w:r w:rsidRPr="00A86ED8">
        <w:rPr>
          <w:rFonts w:ascii="宋体" w:cs="宋体" w:hint="eastAsia"/>
          <w:kern w:val="0"/>
          <w:sz w:val="28"/>
          <w:szCs w:val="28"/>
        </w:rPr>
        <w:t>姓名</w:t>
      </w:r>
      <w:r>
        <w:rPr>
          <w:rFonts w:ascii="宋体" w:cs="宋体" w:hint="eastAsia"/>
          <w:kern w:val="0"/>
          <w:sz w:val="28"/>
          <w:szCs w:val="28"/>
        </w:rPr>
        <w:t>：</w:t>
      </w:r>
      <w:r w:rsidRPr="005F4EC9">
        <w:rPr>
          <w:rFonts w:ascii="宋体" w:cs="宋体" w:hint="eastAsia"/>
          <w:kern w:val="0"/>
          <w:sz w:val="28"/>
          <w:szCs w:val="28"/>
        </w:rPr>
        <w:t>纪红兵</w:t>
      </w:r>
    </w:p>
    <w:p w:rsidR="005F4EC9" w:rsidRDefault="005F4EC9" w:rsidP="005F4EC9">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:1</w:t>
      </w:r>
    </w:p>
    <w:p w:rsidR="005F4EC9" w:rsidRDefault="005F4EC9" w:rsidP="005F4EC9">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:教授</w:t>
      </w:r>
    </w:p>
    <w:p w:rsidR="005F4EC9" w:rsidRDefault="005F4EC9" w:rsidP="005F4EC9">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:中山大学</w:t>
      </w:r>
    </w:p>
    <w:p w:rsidR="005F4EC9" w:rsidRDefault="005F4EC9" w:rsidP="005F4EC9">
      <w:pPr>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p>
    <w:p w:rsidR="005F4EC9" w:rsidRPr="005F4EC9" w:rsidRDefault="005F4EC9" w:rsidP="005F4EC9">
      <w:pPr>
        <w:spacing w:line="360" w:lineRule="exact"/>
        <w:ind w:firstLineChars="149" w:firstLine="417"/>
        <w:jc w:val="left"/>
        <w:rPr>
          <w:rFonts w:ascii="宋体" w:cs="宋体"/>
          <w:kern w:val="0"/>
          <w:sz w:val="28"/>
          <w:szCs w:val="28"/>
        </w:rPr>
      </w:pPr>
      <w:r w:rsidRPr="005F4EC9">
        <w:rPr>
          <w:rFonts w:ascii="宋体" w:cs="宋体" w:hint="eastAsia"/>
          <w:kern w:val="0"/>
          <w:sz w:val="28"/>
          <w:szCs w:val="28"/>
        </w:rPr>
        <w:t>项目总负责人，成果第一贡献者。基于自身在石化工业第一线中的亲身</w:t>
      </w:r>
      <w:r w:rsidRPr="005F4EC9">
        <w:rPr>
          <w:rFonts w:ascii="宋体" w:cs="宋体" w:hint="eastAsia"/>
          <w:kern w:val="0"/>
          <w:sz w:val="28"/>
          <w:szCs w:val="28"/>
        </w:rPr>
        <w:lastRenderedPageBreak/>
        <w:t>经历和工作体会，理论结合实践，主持确定整个成果的章节主线，使其：</w:t>
      </w:r>
    </w:p>
    <w:p w:rsidR="005F4EC9" w:rsidRPr="005F4EC9" w:rsidRDefault="005F4EC9" w:rsidP="005F4EC9">
      <w:pPr>
        <w:spacing w:line="360" w:lineRule="exact"/>
        <w:ind w:firstLineChars="149" w:firstLine="417"/>
        <w:jc w:val="left"/>
        <w:rPr>
          <w:rFonts w:ascii="宋体" w:cs="宋体"/>
          <w:kern w:val="0"/>
          <w:sz w:val="28"/>
          <w:szCs w:val="28"/>
        </w:rPr>
      </w:pPr>
      <w:r w:rsidRPr="005F4EC9">
        <w:rPr>
          <w:rFonts w:ascii="宋体" w:cs="宋体" w:hint="eastAsia"/>
          <w:kern w:val="0"/>
          <w:sz w:val="28"/>
          <w:szCs w:val="28"/>
        </w:rPr>
        <w:t>1）内容完整，具有系统性，全书彩印，图文并茂，通俗易懂；</w:t>
      </w:r>
    </w:p>
    <w:p w:rsidR="005F4EC9" w:rsidRPr="005F4EC9" w:rsidRDefault="005F4EC9" w:rsidP="005F4EC9">
      <w:pPr>
        <w:spacing w:line="360" w:lineRule="exact"/>
        <w:ind w:firstLineChars="149" w:firstLine="417"/>
        <w:jc w:val="left"/>
        <w:rPr>
          <w:rFonts w:ascii="宋体" w:cs="宋体"/>
          <w:kern w:val="0"/>
          <w:sz w:val="28"/>
          <w:szCs w:val="28"/>
        </w:rPr>
      </w:pPr>
      <w:r w:rsidRPr="005F4EC9">
        <w:rPr>
          <w:rFonts w:ascii="宋体" w:cs="宋体" w:hint="eastAsia"/>
          <w:kern w:val="0"/>
          <w:sz w:val="28"/>
          <w:szCs w:val="28"/>
        </w:rPr>
        <w:t>2）详略得当，重点突出；</w:t>
      </w:r>
    </w:p>
    <w:p w:rsidR="005F4EC9" w:rsidRDefault="005F4EC9" w:rsidP="005F4EC9">
      <w:pPr>
        <w:rPr>
          <w:rFonts w:ascii="宋体" w:cs="宋体"/>
          <w:kern w:val="0"/>
          <w:sz w:val="28"/>
          <w:szCs w:val="28"/>
        </w:rPr>
      </w:pPr>
      <w:r w:rsidRPr="005F4EC9">
        <w:rPr>
          <w:rFonts w:ascii="宋体" w:cs="宋体" w:hint="eastAsia"/>
          <w:kern w:val="0"/>
          <w:sz w:val="28"/>
          <w:szCs w:val="28"/>
        </w:rPr>
        <w:t>3）贴近石化区实际，同时具有推广要求的普适性。</w:t>
      </w:r>
    </w:p>
    <w:p w:rsidR="005F4EC9" w:rsidRDefault="005F4EC9" w:rsidP="005F4EC9">
      <w:pPr>
        <w:rPr>
          <w:rFonts w:ascii="宋体" w:cs="宋体"/>
          <w:kern w:val="0"/>
          <w:sz w:val="28"/>
          <w:szCs w:val="28"/>
        </w:rPr>
      </w:pPr>
      <w:r w:rsidRPr="00A86ED8">
        <w:rPr>
          <w:rFonts w:ascii="宋体" w:cs="宋体" w:hint="eastAsia"/>
          <w:kern w:val="0"/>
          <w:sz w:val="28"/>
          <w:szCs w:val="28"/>
        </w:rPr>
        <w:t>曾获国家科技奖励情况</w:t>
      </w:r>
      <w:r>
        <w:rPr>
          <w:rFonts w:ascii="宋体" w:cs="宋体" w:hint="eastAsia"/>
          <w:kern w:val="0"/>
          <w:sz w:val="28"/>
          <w:szCs w:val="28"/>
        </w:rPr>
        <w:t>:</w:t>
      </w:r>
    </w:p>
    <w:p w:rsidR="005F4EC9" w:rsidRPr="00DE7FC3" w:rsidRDefault="005F4EC9" w:rsidP="005F4EC9">
      <w:pPr>
        <w:rPr>
          <w:rFonts w:ascii="宋体" w:cs="宋体"/>
          <w:kern w:val="0"/>
          <w:sz w:val="28"/>
          <w:szCs w:val="28"/>
        </w:rPr>
      </w:pPr>
      <w:r w:rsidRPr="005F4EC9">
        <w:rPr>
          <w:rFonts w:ascii="宋体" w:cs="宋体" w:hint="eastAsia"/>
          <w:kern w:val="0"/>
          <w:sz w:val="28"/>
          <w:szCs w:val="28"/>
        </w:rPr>
        <w:t>2012年被中国石油和化学工业联合会授予“中国石油和化工园区优秀管理者”称号2013年度获广东省科学技术二等奖1项（第二完成人）2013、2014年获中国产学研合作创新奖的个人奖和单位奖2014年度获国家科学技术进步奖二等奖1项（第二完成人）入选2014年国家杰出青年科学基金获得者和2014年首批“广东特支计划”科技创新领军人才</w:t>
      </w:r>
    </w:p>
    <w:p w:rsidR="003B6F71" w:rsidRPr="005F4EC9" w:rsidRDefault="003B6F71">
      <w:pPr>
        <w:rPr>
          <w:rFonts w:ascii="宋体" w:cs="宋体"/>
          <w:kern w:val="0"/>
          <w:sz w:val="28"/>
          <w:szCs w:val="28"/>
        </w:rPr>
      </w:pPr>
    </w:p>
    <w:sectPr w:rsidR="003B6F71" w:rsidRPr="005F4EC9" w:rsidSect="00D21870">
      <w:pgSz w:w="11906" w:h="16838"/>
      <w:pgMar w:top="144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F71" w:rsidRDefault="003B6F71" w:rsidP="005F4EC9">
      <w:r>
        <w:separator/>
      </w:r>
    </w:p>
  </w:endnote>
  <w:endnote w:type="continuationSeparator" w:id="1">
    <w:p w:rsidR="003B6F71" w:rsidRDefault="003B6F71" w:rsidP="005F4EC9">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宋体">
    <w:altName w:val="..ì."/>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F71" w:rsidRDefault="003B6F71" w:rsidP="005F4EC9">
      <w:r>
        <w:separator/>
      </w:r>
    </w:p>
  </w:footnote>
  <w:footnote w:type="continuationSeparator" w:id="1">
    <w:p w:rsidR="003B6F71" w:rsidRDefault="003B6F71" w:rsidP="005F4E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F4EC9"/>
    <w:rsid w:val="003B6F71"/>
    <w:rsid w:val="005F4E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EC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4EC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F4EC9"/>
    <w:rPr>
      <w:sz w:val="18"/>
      <w:szCs w:val="18"/>
    </w:rPr>
  </w:style>
  <w:style w:type="paragraph" w:styleId="a4">
    <w:name w:val="footer"/>
    <w:basedOn w:val="a"/>
    <w:link w:val="Char0"/>
    <w:uiPriority w:val="99"/>
    <w:semiHidden/>
    <w:unhideWhenUsed/>
    <w:rsid w:val="005F4EC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F4EC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354</Words>
  <Characters>2024</Characters>
  <Application>Microsoft Office Word</Application>
  <DocSecurity>0</DocSecurity>
  <Lines>16</Lines>
  <Paragraphs>4</Paragraphs>
  <ScaleCrop>false</ScaleCrop>
  <Company>微软中国</Company>
  <LinksUpToDate>false</LinksUpToDate>
  <CharactersWithSpaces>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微软中国</cp:lastModifiedBy>
  <cp:revision>2</cp:revision>
  <dcterms:created xsi:type="dcterms:W3CDTF">2015-08-03T01:54:00Z</dcterms:created>
  <dcterms:modified xsi:type="dcterms:W3CDTF">2015-08-03T01:56:00Z</dcterms:modified>
</cp:coreProperties>
</file>